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ACF85">
      <w:pPr>
        <w:spacing w:after="156" w:afterLines="50" w:line="440" w:lineRule="exact"/>
        <w:rPr>
          <w:rFonts w:hint="eastAsia" w:ascii="仿宋_GB2312" w:hAnsi="宋体" w:eastAsia="仿宋_GB2312" w:cs="Times New Roman"/>
          <w:b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sz w:val="32"/>
          <w:szCs w:val="32"/>
        </w:rPr>
        <w:t>附件</w:t>
      </w:r>
      <w:r>
        <w:rPr>
          <w:rFonts w:hint="eastAsia" w:ascii="仿宋_GB2312" w:hAnsi="宋体" w:eastAsia="仿宋_GB2312" w:cs="Times New Roman"/>
          <w:b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b/>
          <w:sz w:val="32"/>
          <w:szCs w:val="32"/>
        </w:rPr>
        <w:t>：</w:t>
      </w:r>
    </w:p>
    <w:p w14:paraId="36EF0AC3">
      <w:pPr>
        <w:spacing w:line="500" w:lineRule="exact"/>
        <w:jc w:val="center"/>
        <w:rPr>
          <w:rFonts w:hint="eastAsia" w:ascii="方正小标宋简体" w:eastAsia="方正小标宋简体"/>
          <w:sz w:val="40"/>
          <w:szCs w:val="40"/>
          <w:lang w:eastAsia="zh-CN"/>
        </w:rPr>
      </w:pPr>
      <w:r>
        <w:rPr>
          <w:rFonts w:hint="eastAsia" w:ascii="方正小标宋简体" w:eastAsia="方正小标宋简体"/>
          <w:sz w:val="40"/>
          <w:szCs w:val="40"/>
        </w:rPr>
        <w:t>思政专任教师校内转岗考核教案评价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标准</w:t>
      </w:r>
      <w:bookmarkStart w:id="0" w:name="_GoBack"/>
      <w:bookmarkEnd w:id="0"/>
    </w:p>
    <w:p w14:paraId="765D9477"/>
    <w:tbl>
      <w:tblPr>
        <w:tblStyle w:val="4"/>
        <w:tblpPr w:leftFromText="180" w:rightFromText="180" w:vertAnchor="text" w:horzAnchor="page" w:tblpX="1742" w:tblpY="476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17"/>
        <w:gridCol w:w="5387"/>
        <w:gridCol w:w="850"/>
      </w:tblGrid>
      <w:tr w14:paraId="4357F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Align w:val="center"/>
          </w:tcPr>
          <w:p w14:paraId="03EA1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b/>
                <w:sz w:val="28"/>
                <w:szCs w:val="28"/>
              </w:rPr>
            </w:pPr>
            <w:r>
              <w:rPr>
                <w:rFonts w:ascii="Times" w:hAnsi="Times" w:eastAsia="仿宋_GB2312"/>
                <w:b/>
                <w:sz w:val="28"/>
                <w:szCs w:val="28"/>
              </w:rPr>
              <w:t>项目</w:t>
            </w:r>
          </w:p>
        </w:tc>
        <w:tc>
          <w:tcPr>
            <w:tcW w:w="1417" w:type="dxa"/>
            <w:vAlign w:val="center"/>
          </w:tcPr>
          <w:p w14:paraId="062B8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b/>
                <w:sz w:val="28"/>
                <w:szCs w:val="28"/>
              </w:rPr>
            </w:pPr>
            <w:r>
              <w:rPr>
                <w:rFonts w:ascii="Times" w:hAnsi="Times" w:eastAsia="仿宋_GB2312"/>
                <w:b/>
                <w:sz w:val="28"/>
                <w:szCs w:val="28"/>
              </w:rPr>
              <w:t>内容</w:t>
            </w:r>
          </w:p>
        </w:tc>
        <w:tc>
          <w:tcPr>
            <w:tcW w:w="5387" w:type="dxa"/>
            <w:vAlign w:val="center"/>
          </w:tcPr>
          <w:p w14:paraId="4C7E4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b/>
                <w:sz w:val="28"/>
                <w:szCs w:val="28"/>
              </w:rPr>
            </w:pPr>
            <w:r>
              <w:rPr>
                <w:rFonts w:ascii="Times" w:hAnsi="Times" w:eastAsia="仿宋_GB2312"/>
                <w:b/>
                <w:sz w:val="28"/>
                <w:szCs w:val="28"/>
              </w:rPr>
              <w:t>评分标准</w:t>
            </w:r>
          </w:p>
        </w:tc>
        <w:tc>
          <w:tcPr>
            <w:tcW w:w="850" w:type="dxa"/>
            <w:vAlign w:val="center"/>
          </w:tcPr>
          <w:p w14:paraId="6C10F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b/>
                <w:sz w:val="28"/>
                <w:szCs w:val="28"/>
              </w:rPr>
            </w:pPr>
            <w:r>
              <w:rPr>
                <w:rFonts w:ascii="Times" w:hAnsi="Times" w:eastAsia="仿宋_GB2312"/>
                <w:b/>
                <w:sz w:val="28"/>
                <w:szCs w:val="28"/>
              </w:rPr>
              <w:t>分值</w:t>
            </w:r>
          </w:p>
        </w:tc>
      </w:tr>
      <w:tr w14:paraId="44945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restart"/>
            <w:vAlign w:val="center"/>
          </w:tcPr>
          <w:p w14:paraId="47AD4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 w:cs="Times New Roman"/>
                <w:b/>
                <w:sz w:val="24"/>
                <w:szCs w:val="24"/>
              </w:rPr>
            </w:pPr>
            <w:r>
              <w:rPr>
                <w:rFonts w:ascii="Times" w:hAnsi="Times" w:eastAsia="仿宋_GB2312" w:cs="Times New Roman"/>
                <w:b/>
                <w:sz w:val="24"/>
                <w:szCs w:val="24"/>
              </w:rPr>
              <w:t>教学</w:t>
            </w:r>
          </w:p>
          <w:p w14:paraId="0DC55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 w:cs="Times New Roman"/>
                <w:b/>
                <w:sz w:val="24"/>
                <w:szCs w:val="24"/>
              </w:rPr>
            </w:pPr>
            <w:r>
              <w:rPr>
                <w:rFonts w:ascii="Times" w:hAnsi="Times" w:eastAsia="仿宋_GB2312" w:cs="Times New Roman"/>
                <w:b/>
                <w:sz w:val="24"/>
                <w:szCs w:val="24"/>
              </w:rPr>
              <w:t>设计</w:t>
            </w:r>
          </w:p>
          <w:p w14:paraId="7A918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/>
                <w:b/>
                <w:w w:val="90"/>
                <w:sz w:val="24"/>
                <w:szCs w:val="24"/>
              </w:rPr>
            </w:pPr>
            <w:r>
              <w:rPr>
                <w:rFonts w:ascii="Times" w:hAnsi="Times" w:eastAsia="仿宋_GB2312"/>
                <w:b/>
                <w:w w:val="90"/>
                <w:sz w:val="24"/>
                <w:szCs w:val="24"/>
              </w:rPr>
              <w:t>（40分）</w:t>
            </w:r>
          </w:p>
        </w:tc>
        <w:tc>
          <w:tcPr>
            <w:tcW w:w="1417" w:type="dxa"/>
            <w:vMerge w:val="restart"/>
            <w:vAlign w:val="center"/>
          </w:tcPr>
          <w:p w14:paraId="7310F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教学分析</w:t>
            </w:r>
          </w:p>
        </w:tc>
        <w:tc>
          <w:tcPr>
            <w:tcW w:w="5387" w:type="dxa"/>
            <w:vAlign w:val="center"/>
          </w:tcPr>
          <w:p w14:paraId="011A8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对学习需要分析、学习环境分析和学习者特征分析准确，符合实际。</w:t>
            </w:r>
          </w:p>
        </w:tc>
        <w:tc>
          <w:tcPr>
            <w:tcW w:w="850" w:type="dxa"/>
            <w:vAlign w:val="center"/>
          </w:tcPr>
          <w:p w14:paraId="1DF0E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5</w:t>
            </w:r>
          </w:p>
        </w:tc>
      </w:tr>
      <w:tr w14:paraId="24241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2BAC8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3FB1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518BA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 xml:space="preserve">教学目标明确，符合课程大纲要求和课程特点。目标阐述全面准确，具有可操作性、可评价性。 </w:t>
            </w:r>
          </w:p>
        </w:tc>
        <w:tc>
          <w:tcPr>
            <w:tcW w:w="850" w:type="dxa"/>
            <w:vAlign w:val="center"/>
          </w:tcPr>
          <w:p w14:paraId="713A1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5</w:t>
            </w:r>
          </w:p>
        </w:tc>
      </w:tr>
      <w:tr w14:paraId="5552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1D9CB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857D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9709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教学重点、难点分析透彻。</w:t>
            </w:r>
          </w:p>
        </w:tc>
        <w:tc>
          <w:tcPr>
            <w:tcW w:w="850" w:type="dxa"/>
            <w:vAlign w:val="center"/>
          </w:tcPr>
          <w:p w14:paraId="50EF8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5</w:t>
            </w:r>
          </w:p>
        </w:tc>
      </w:tr>
      <w:tr w14:paraId="7924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585DC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FD1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过程设计</w:t>
            </w:r>
          </w:p>
        </w:tc>
        <w:tc>
          <w:tcPr>
            <w:tcW w:w="5387" w:type="dxa"/>
            <w:vAlign w:val="center"/>
          </w:tcPr>
          <w:p w14:paraId="68FA2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思路清晰，过程完整，方法得当；能有效解决“老师如何教”和“学生如何学”。</w:t>
            </w:r>
          </w:p>
        </w:tc>
        <w:tc>
          <w:tcPr>
            <w:tcW w:w="850" w:type="dxa"/>
            <w:vAlign w:val="center"/>
          </w:tcPr>
          <w:p w14:paraId="270F8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10</w:t>
            </w:r>
          </w:p>
        </w:tc>
      </w:tr>
      <w:tr w14:paraId="2938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08271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DC1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评价设计</w:t>
            </w:r>
          </w:p>
        </w:tc>
        <w:tc>
          <w:tcPr>
            <w:tcW w:w="5387" w:type="dxa"/>
            <w:vAlign w:val="center"/>
          </w:tcPr>
          <w:p w14:paraId="6AD3F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有教学目标达成度的检测，能有效反馈教学效果。</w:t>
            </w:r>
          </w:p>
        </w:tc>
        <w:tc>
          <w:tcPr>
            <w:tcW w:w="850" w:type="dxa"/>
            <w:vAlign w:val="center"/>
          </w:tcPr>
          <w:p w14:paraId="67BE8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10</w:t>
            </w:r>
          </w:p>
        </w:tc>
      </w:tr>
      <w:tr w14:paraId="4427D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1462E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C1B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板书设计</w:t>
            </w:r>
          </w:p>
        </w:tc>
        <w:tc>
          <w:tcPr>
            <w:tcW w:w="5387" w:type="dxa"/>
            <w:vAlign w:val="center"/>
          </w:tcPr>
          <w:p w14:paraId="3160E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板书设计内容恰当、安排合理，符合教学实际。</w:t>
            </w:r>
          </w:p>
        </w:tc>
        <w:tc>
          <w:tcPr>
            <w:tcW w:w="850" w:type="dxa"/>
            <w:vAlign w:val="center"/>
          </w:tcPr>
          <w:p w14:paraId="15E06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5</w:t>
            </w:r>
          </w:p>
        </w:tc>
      </w:tr>
      <w:tr w14:paraId="45C2D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restart"/>
            <w:vAlign w:val="center"/>
          </w:tcPr>
          <w:p w14:paraId="7C1BE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  <w:r>
              <w:rPr>
                <w:rFonts w:ascii="Times" w:hAnsi="Times" w:eastAsia="仿宋_GB2312"/>
                <w:b/>
                <w:sz w:val="24"/>
                <w:szCs w:val="24"/>
              </w:rPr>
              <w:t>教学内容</w:t>
            </w:r>
          </w:p>
          <w:p w14:paraId="34A24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  <w:r>
              <w:rPr>
                <w:rFonts w:ascii="Times" w:hAnsi="Times" w:eastAsia="仿宋_GB2312"/>
                <w:b/>
                <w:sz w:val="24"/>
                <w:szCs w:val="24"/>
              </w:rPr>
              <w:t>和过程</w:t>
            </w:r>
          </w:p>
          <w:p w14:paraId="3A11A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/>
                <w:b/>
                <w:w w:val="90"/>
                <w:sz w:val="24"/>
                <w:szCs w:val="24"/>
              </w:rPr>
            </w:pPr>
            <w:r>
              <w:rPr>
                <w:rFonts w:ascii="Times" w:hAnsi="Times" w:eastAsia="仿宋_GB2312"/>
                <w:b/>
                <w:w w:val="90"/>
                <w:sz w:val="24"/>
                <w:szCs w:val="24"/>
              </w:rPr>
              <w:t>（50分）</w:t>
            </w:r>
          </w:p>
        </w:tc>
        <w:tc>
          <w:tcPr>
            <w:tcW w:w="1417" w:type="dxa"/>
            <w:vAlign w:val="center"/>
          </w:tcPr>
          <w:p w14:paraId="450D3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教学内容</w:t>
            </w:r>
          </w:p>
        </w:tc>
        <w:tc>
          <w:tcPr>
            <w:tcW w:w="5387" w:type="dxa"/>
            <w:vAlign w:val="center"/>
          </w:tcPr>
          <w:p w14:paraId="7C6C3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概念正确、专业术语表述准确、示例恰当。内容充实，</w:t>
            </w:r>
            <w:r>
              <w:rPr>
                <w:rFonts w:ascii="Times" w:hAnsi="Times" w:eastAsia="仿宋_GB2312"/>
                <w:sz w:val="24"/>
                <w:szCs w:val="24"/>
              </w:rPr>
              <w:t>理论联系实际，反映学科发展动态。</w:t>
            </w:r>
          </w:p>
        </w:tc>
        <w:tc>
          <w:tcPr>
            <w:tcW w:w="850" w:type="dxa"/>
            <w:vAlign w:val="center"/>
          </w:tcPr>
          <w:p w14:paraId="60D76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10</w:t>
            </w:r>
          </w:p>
        </w:tc>
      </w:tr>
      <w:tr w14:paraId="68FA0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0BF4C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243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教学过程</w:t>
            </w:r>
          </w:p>
        </w:tc>
        <w:tc>
          <w:tcPr>
            <w:tcW w:w="5387" w:type="dxa"/>
            <w:vAlign w:val="center"/>
          </w:tcPr>
          <w:p w14:paraId="6CBBC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 xml:space="preserve">教学过程完整，呈现方式合理；情境创设有新意，正确体现目标；环节清晰，过渡自然，时间分配合理。 </w:t>
            </w:r>
          </w:p>
        </w:tc>
        <w:tc>
          <w:tcPr>
            <w:tcW w:w="850" w:type="dxa"/>
            <w:vAlign w:val="center"/>
          </w:tcPr>
          <w:p w14:paraId="546E5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10</w:t>
            </w:r>
          </w:p>
        </w:tc>
      </w:tr>
      <w:tr w14:paraId="1BA0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45050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E40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课程思政</w:t>
            </w:r>
          </w:p>
        </w:tc>
        <w:tc>
          <w:tcPr>
            <w:tcW w:w="5387" w:type="dxa"/>
            <w:vAlign w:val="center"/>
          </w:tcPr>
          <w:p w14:paraId="780C0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能结合课程内容和特点挖掘思政元素，将“教书”与“育人”相结合，思政与学科内容相结合。</w:t>
            </w:r>
          </w:p>
        </w:tc>
        <w:tc>
          <w:tcPr>
            <w:tcW w:w="850" w:type="dxa"/>
            <w:vAlign w:val="center"/>
          </w:tcPr>
          <w:p w14:paraId="326A8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10</w:t>
            </w:r>
          </w:p>
        </w:tc>
      </w:tr>
      <w:tr w14:paraId="059A1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39FEB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345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教学方法与手段</w:t>
            </w:r>
          </w:p>
        </w:tc>
        <w:tc>
          <w:tcPr>
            <w:tcW w:w="5387" w:type="dxa"/>
            <w:vAlign w:val="center"/>
          </w:tcPr>
          <w:p w14:paraId="2E083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教学方法灵活巧妙，能突出教学重点，破解教学难点；注重</w:t>
            </w: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引导学生参与，启发学生思维。</w:t>
            </w:r>
            <w:r>
              <w:rPr>
                <w:rFonts w:ascii="Times" w:hAnsi="Times" w:eastAsia="仿宋_GB2312"/>
                <w:sz w:val="24"/>
                <w:szCs w:val="24"/>
              </w:rPr>
              <w:t>教学手段的选择</w:t>
            </w: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有利于教学过程的实施和教学目标的实现</w:t>
            </w:r>
            <w:r>
              <w:rPr>
                <w:rFonts w:ascii="Times" w:hAnsi="Times" w:eastAsia="仿宋_GB2312"/>
                <w:sz w:val="24"/>
                <w:szCs w:val="24"/>
              </w:rPr>
              <w:t>。</w:t>
            </w:r>
          </w:p>
        </w:tc>
        <w:tc>
          <w:tcPr>
            <w:tcW w:w="850" w:type="dxa"/>
            <w:vAlign w:val="center"/>
          </w:tcPr>
          <w:p w14:paraId="04F94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15</w:t>
            </w:r>
          </w:p>
        </w:tc>
      </w:tr>
      <w:tr w14:paraId="37F9D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Merge w:val="continue"/>
            <w:vAlign w:val="center"/>
          </w:tcPr>
          <w:p w14:paraId="76FBF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36A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pacing w:val="-8"/>
                <w:sz w:val="24"/>
                <w:szCs w:val="24"/>
              </w:rPr>
            </w:pPr>
            <w:r>
              <w:rPr>
                <w:rFonts w:ascii="Times" w:hAnsi="Times" w:eastAsia="仿宋_GB2312"/>
                <w:spacing w:val="-8"/>
                <w:sz w:val="24"/>
                <w:szCs w:val="24"/>
              </w:rPr>
              <w:t>小结与延伸</w:t>
            </w:r>
          </w:p>
        </w:tc>
        <w:tc>
          <w:tcPr>
            <w:tcW w:w="5387" w:type="dxa"/>
            <w:vAlign w:val="center"/>
          </w:tcPr>
          <w:p w14:paraId="3A59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小结完整、精炼，并有适当的知识延伸；课后作业量适当，有利于进一步巩固所学内容。</w:t>
            </w:r>
          </w:p>
        </w:tc>
        <w:tc>
          <w:tcPr>
            <w:tcW w:w="850" w:type="dxa"/>
            <w:vAlign w:val="center"/>
          </w:tcPr>
          <w:p w14:paraId="1C3F2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5</w:t>
            </w:r>
          </w:p>
        </w:tc>
      </w:tr>
      <w:tr w14:paraId="34E49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88" w:type="dxa"/>
            <w:vAlign w:val="center"/>
          </w:tcPr>
          <w:p w14:paraId="34A0F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05" w:leftChars="-50" w:right="-105" w:rightChars="-50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  <w:r>
              <w:rPr>
                <w:rFonts w:ascii="Times" w:hAnsi="Times" w:eastAsia="仿宋_GB2312"/>
                <w:b/>
                <w:sz w:val="24"/>
                <w:szCs w:val="24"/>
              </w:rPr>
              <w:t>教案规范</w:t>
            </w:r>
            <w:r>
              <w:rPr>
                <w:rFonts w:ascii="Times" w:hAnsi="Times" w:eastAsia="仿宋_GB2312"/>
                <w:b/>
                <w:w w:val="90"/>
                <w:sz w:val="24"/>
                <w:szCs w:val="24"/>
              </w:rPr>
              <w:t>（10分）</w:t>
            </w:r>
          </w:p>
        </w:tc>
        <w:tc>
          <w:tcPr>
            <w:tcW w:w="1417" w:type="dxa"/>
            <w:vAlign w:val="center"/>
          </w:tcPr>
          <w:p w14:paraId="64F99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内容格式</w:t>
            </w:r>
          </w:p>
        </w:tc>
        <w:tc>
          <w:tcPr>
            <w:tcW w:w="5387" w:type="dxa"/>
            <w:vAlign w:val="center"/>
          </w:tcPr>
          <w:p w14:paraId="74DAE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要素齐全，排版美观，语言简洁，视频、图片、图表等运用得当，能反映教师备课充分。</w:t>
            </w:r>
          </w:p>
        </w:tc>
        <w:tc>
          <w:tcPr>
            <w:tcW w:w="850" w:type="dxa"/>
            <w:vAlign w:val="center"/>
          </w:tcPr>
          <w:p w14:paraId="40967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10</w:t>
            </w:r>
          </w:p>
        </w:tc>
      </w:tr>
      <w:tr w14:paraId="27A4A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92" w:type="dxa"/>
            <w:gridSpan w:val="3"/>
            <w:vAlign w:val="center"/>
          </w:tcPr>
          <w:p w14:paraId="108F9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b/>
                <w:sz w:val="24"/>
                <w:szCs w:val="24"/>
              </w:rPr>
            </w:pPr>
            <w:r>
              <w:rPr>
                <w:rFonts w:ascii="Times" w:hAnsi="Times" w:eastAsia="仿宋_GB2312"/>
                <w:b/>
                <w:sz w:val="24"/>
                <w:szCs w:val="24"/>
              </w:rPr>
              <w:t>合   计</w:t>
            </w:r>
          </w:p>
        </w:tc>
        <w:tc>
          <w:tcPr>
            <w:tcW w:w="850" w:type="dxa"/>
            <w:vAlign w:val="center"/>
          </w:tcPr>
          <w:p w14:paraId="2648F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/>
                <w:sz w:val="24"/>
                <w:szCs w:val="24"/>
              </w:rPr>
              <w:t>100</w:t>
            </w:r>
          </w:p>
        </w:tc>
      </w:tr>
    </w:tbl>
    <w:p w14:paraId="5292EE47">
      <w:pPr>
        <w:spacing w:after="156" w:afterLines="50" w:line="440" w:lineRule="exact"/>
        <w:rPr>
          <w:rFonts w:hint="default" w:ascii="仿宋_GB2312" w:eastAsia="仿宋_GB2312" w:hAnsiTheme="minorEastAsia"/>
          <w:sz w:val="32"/>
          <w:szCs w:val="36"/>
          <w:lang w:val="en-US" w:eastAsia="zh-CN"/>
        </w:rPr>
      </w:pPr>
    </w:p>
    <w:sectPr>
      <w:pgSz w:w="11906" w:h="16838"/>
      <w:pgMar w:top="1134" w:right="1797" w:bottom="1134" w:left="1797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CF"/>
    <w:rsid w:val="0003430D"/>
    <w:rsid w:val="000535A9"/>
    <w:rsid w:val="00077B94"/>
    <w:rsid w:val="00082021"/>
    <w:rsid w:val="000874DD"/>
    <w:rsid w:val="000B11D3"/>
    <w:rsid w:val="000B7F1E"/>
    <w:rsid w:val="000D18CF"/>
    <w:rsid w:val="000E2CB3"/>
    <w:rsid w:val="0010250B"/>
    <w:rsid w:val="001054DF"/>
    <w:rsid w:val="00106715"/>
    <w:rsid w:val="00117BD9"/>
    <w:rsid w:val="00134E1E"/>
    <w:rsid w:val="001836BD"/>
    <w:rsid w:val="0018738C"/>
    <w:rsid w:val="00225F27"/>
    <w:rsid w:val="002318D8"/>
    <w:rsid w:val="00234220"/>
    <w:rsid w:val="00254C4F"/>
    <w:rsid w:val="00267867"/>
    <w:rsid w:val="00272B96"/>
    <w:rsid w:val="00280B2F"/>
    <w:rsid w:val="002B24B5"/>
    <w:rsid w:val="002D4310"/>
    <w:rsid w:val="002E3AB9"/>
    <w:rsid w:val="0033058E"/>
    <w:rsid w:val="003B3A06"/>
    <w:rsid w:val="003F0946"/>
    <w:rsid w:val="00417DDC"/>
    <w:rsid w:val="004219D2"/>
    <w:rsid w:val="00456B4A"/>
    <w:rsid w:val="00473639"/>
    <w:rsid w:val="004A6CDE"/>
    <w:rsid w:val="004D3B9D"/>
    <w:rsid w:val="004E3D9C"/>
    <w:rsid w:val="004E4645"/>
    <w:rsid w:val="004F2F67"/>
    <w:rsid w:val="0050106E"/>
    <w:rsid w:val="00521D06"/>
    <w:rsid w:val="00540FA5"/>
    <w:rsid w:val="00546A39"/>
    <w:rsid w:val="00582812"/>
    <w:rsid w:val="005D5DF3"/>
    <w:rsid w:val="005E4317"/>
    <w:rsid w:val="005E62E2"/>
    <w:rsid w:val="00617A7E"/>
    <w:rsid w:val="006258F5"/>
    <w:rsid w:val="00665F27"/>
    <w:rsid w:val="00691804"/>
    <w:rsid w:val="00694C61"/>
    <w:rsid w:val="00695372"/>
    <w:rsid w:val="006A7350"/>
    <w:rsid w:val="006B762D"/>
    <w:rsid w:val="006B7A3E"/>
    <w:rsid w:val="006F72D5"/>
    <w:rsid w:val="007429DE"/>
    <w:rsid w:val="007506CE"/>
    <w:rsid w:val="007516DB"/>
    <w:rsid w:val="0076108E"/>
    <w:rsid w:val="00761FC7"/>
    <w:rsid w:val="00763675"/>
    <w:rsid w:val="007E74D7"/>
    <w:rsid w:val="008110E0"/>
    <w:rsid w:val="00862FB1"/>
    <w:rsid w:val="00870D1B"/>
    <w:rsid w:val="0088429E"/>
    <w:rsid w:val="008B19AD"/>
    <w:rsid w:val="00902C5A"/>
    <w:rsid w:val="009150EB"/>
    <w:rsid w:val="00916CAE"/>
    <w:rsid w:val="00931313"/>
    <w:rsid w:val="009321FE"/>
    <w:rsid w:val="009437E8"/>
    <w:rsid w:val="0095721E"/>
    <w:rsid w:val="00962858"/>
    <w:rsid w:val="00966C36"/>
    <w:rsid w:val="009922C4"/>
    <w:rsid w:val="009B5E5B"/>
    <w:rsid w:val="009D0641"/>
    <w:rsid w:val="009D54C9"/>
    <w:rsid w:val="00A02BB2"/>
    <w:rsid w:val="00A02E46"/>
    <w:rsid w:val="00A72287"/>
    <w:rsid w:val="00A960E8"/>
    <w:rsid w:val="00AB0FA7"/>
    <w:rsid w:val="00AE69CF"/>
    <w:rsid w:val="00AF5D06"/>
    <w:rsid w:val="00B1467D"/>
    <w:rsid w:val="00B45971"/>
    <w:rsid w:val="00B50DDC"/>
    <w:rsid w:val="00B8050D"/>
    <w:rsid w:val="00BA19CB"/>
    <w:rsid w:val="00BE456D"/>
    <w:rsid w:val="00C15228"/>
    <w:rsid w:val="00C32DD7"/>
    <w:rsid w:val="00C370E1"/>
    <w:rsid w:val="00C55315"/>
    <w:rsid w:val="00C63A48"/>
    <w:rsid w:val="00CA2935"/>
    <w:rsid w:val="00CB446C"/>
    <w:rsid w:val="00CE317A"/>
    <w:rsid w:val="00CE54CE"/>
    <w:rsid w:val="00CF4BC8"/>
    <w:rsid w:val="00D203A9"/>
    <w:rsid w:val="00D20D58"/>
    <w:rsid w:val="00DA1249"/>
    <w:rsid w:val="00DD5E94"/>
    <w:rsid w:val="00E246CF"/>
    <w:rsid w:val="00E43CD6"/>
    <w:rsid w:val="00E44549"/>
    <w:rsid w:val="00E87491"/>
    <w:rsid w:val="00EC609A"/>
    <w:rsid w:val="00ED2F91"/>
    <w:rsid w:val="00ED68B6"/>
    <w:rsid w:val="00ED6A59"/>
    <w:rsid w:val="00EE7A65"/>
    <w:rsid w:val="00F14E11"/>
    <w:rsid w:val="00F27A74"/>
    <w:rsid w:val="00F428ED"/>
    <w:rsid w:val="00F740FD"/>
    <w:rsid w:val="00F74FEE"/>
    <w:rsid w:val="00F80DCC"/>
    <w:rsid w:val="00F95834"/>
    <w:rsid w:val="00FA2BFB"/>
    <w:rsid w:val="00FD30EE"/>
    <w:rsid w:val="00FD3DC9"/>
    <w:rsid w:val="00FF2F63"/>
    <w:rsid w:val="0A46054A"/>
    <w:rsid w:val="3B0954D1"/>
    <w:rsid w:val="61E450E3"/>
    <w:rsid w:val="797F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11.18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572</Words>
  <Characters>587</Characters>
  <Lines>5</Lines>
  <Paragraphs>1</Paragraphs>
  <TotalTime>0</TotalTime>
  <ScaleCrop>false</ScaleCrop>
  <LinksUpToDate>false</LinksUpToDate>
  <CharactersWithSpaces>595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2018-06-20T09:14:00Z</dcterms:created>
  <dc:creator>马 进</dc:creator>
  <cp:lastModifiedBy>陈全新</cp:lastModifiedBy>
  <dcterms:modified xsi:type="dcterms:W3CDTF">2026-04-02T01:57:33Z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2022-11-16T07:00:53Z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c5c2925e-31df-4184-b82e-3968e7e31855</vt:lpwstr>
  </property>
  <property fmtid="{D5CDD505-2E9C-101B-9397-08002B2CF9AE}" pid="7" name="MSIP_Label_defa4170-0d19-0005-0004-bc88714345d2_ActionId">
    <vt:lpwstr>a6b91218-1bc2-4119-bfa3-1920f60199c5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KSOTemplateDocerSaveRecord">
    <vt:lpwstr>eyJoZGlkIjoiOTJiYmYwZGQ0MzI5ODI4NWM4YWI2ZDdkOWY0ZjVlMjEiLCJ1c2VySWQiOiIyNDExMTU2ODAifQ==</vt:lpwstr>
  </property>
  <property fmtid="{D5CDD505-2E9C-101B-9397-08002B2CF9AE}" pid="10" name="KSOProductBuildVer">
    <vt:lpwstr>2052-12.1.0.25225</vt:lpwstr>
  </property>
  <property fmtid="{D5CDD505-2E9C-101B-9397-08002B2CF9AE}" pid="11" name="ICV">
    <vt:lpwstr>ECFDAA59F79449B3BD8EF6E658EAEF6A_12</vt:lpwstr>
  </property>
</Properties>
</file>